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18"/>
        <w:gridCol w:w="6570"/>
        <w:gridCol w:w="3002"/>
      </w:tblGrid>
      <w:tr w:rsidR="002E0989" w:rsidRPr="002E0989" w:rsidTr="00E677C1">
        <w:tc>
          <w:tcPr>
            <w:tcW w:w="4518" w:type="dxa"/>
          </w:tcPr>
          <w:p w:rsidR="002E0989" w:rsidRPr="002F2579" w:rsidRDefault="002F2579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b/>
                <w:color w:val="333333"/>
                <w:sz w:val="21"/>
                <w:szCs w:val="21"/>
              </w:rPr>
            </w:pPr>
            <w:r w:rsidRPr="002F2579">
              <w:rPr>
                <w:rFonts w:ascii="Segoe UI" w:eastAsia="Times New Roman" w:hAnsi="Segoe UI" w:cs="Segoe UI"/>
                <w:b/>
                <w:color w:val="333333"/>
                <w:sz w:val="21"/>
                <w:szCs w:val="21"/>
              </w:rPr>
              <w:t>Category</w:t>
            </w:r>
          </w:p>
        </w:tc>
        <w:tc>
          <w:tcPr>
            <w:tcW w:w="6570" w:type="dxa"/>
          </w:tcPr>
          <w:p w:rsidR="002E0989" w:rsidRPr="002F2579" w:rsidRDefault="002E0989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b/>
                <w:color w:val="333333"/>
                <w:sz w:val="21"/>
                <w:szCs w:val="21"/>
              </w:rPr>
            </w:pPr>
            <w:r w:rsidRPr="002F2579">
              <w:rPr>
                <w:rFonts w:ascii="Segoe UI" w:eastAsia="Times New Roman" w:hAnsi="Segoe UI" w:cs="Segoe UI"/>
                <w:b/>
                <w:color w:val="333333"/>
                <w:sz w:val="21"/>
                <w:szCs w:val="21"/>
              </w:rPr>
              <w:t>Canvas elements</w:t>
            </w:r>
          </w:p>
        </w:tc>
        <w:tc>
          <w:tcPr>
            <w:tcW w:w="3002" w:type="dxa"/>
          </w:tcPr>
          <w:p w:rsidR="002E0989" w:rsidRPr="002F2579" w:rsidRDefault="00780B3F" w:rsidP="002E0989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b/>
                <w:color w:val="333333"/>
                <w:sz w:val="21"/>
                <w:szCs w:val="21"/>
              </w:rPr>
            </w:pPr>
            <w:r w:rsidRPr="002F2579">
              <w:rPr>
                <w:rFonts w:ascii="Segoe UI" w:eastAsia="Times New Roman" w:hAnsi="Segoe UI" w:cs="Segoe UI"/>
                <w:b/>
                <w:color w:val="333333"/>
                <w:sz w:val="21"/>
                <w:szCs w:val="21"/>
              </w:rPr>
              <w:t xml:space="preserve">Construction &amp; plates </w:t>
            </w:r>
          </w:p>
        </w:tc>
      </w:tr>
      <w:tr w:rsidR="002E0989" w:rsidRPr="002E0989" w:rsidTr="00E677C1">
        <w:tc>
          <w:tcPr>
            <w:tcW w:w="4518" w:type="dxa"/>
          </w:tcPr>
          <w:p w:rsidR="002E0989" w:rsidRPr="002E0989" w:rsidRDefault="002E0989" w:rsidP="002E0989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Zip top</w:t>
            </w:r>
          </w:p>
        </w:tc>
        <w:tc>
          <w:tcPr>
            <w:tcW w:w="6570" w:type="dxa"/>
          </w:tcPr>
          <w:p w:rsidR="002E0989" w:rsidRPr="002E0989" w:rsidRDefault="002E0989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Front, back; lip is </w:t>
            </w:r>
            <w:r w:rsidR="001C613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present/</w:t>
            </w: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printable</w:t>
            </w:r>
            <w:r w:rsidR="008A6530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 on both sides</w:t>
            </w:r>
            <w:r w:rsidR="00F93CCA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.</w:t>
            </w:r>
          </w:p>
        </w:tc>
        <w:tc>
          <w:tcPr>
            <w:tcW w:w="3002" w:type="dxa"/>
          </w:tcPr>
          <w:p w:rsidR="002E0989" w:rsidRDefault="00780B3F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SW – 1 plate </w:t>
            </w:r>
          </w:p>
        </w:tc>
      </w:tr>
      <w:tr w:rsidR="002E0989" w:rsidRPr="002E0989" w:rsidTr="00E677C1">
        <w:tc>
          <w:tcPr>
            <w:tcW w:w="4518" w:type="dxa"/>
          </w:tcPr>
          <w:p w:rsidR="002E0989" w:rsidRPr="002E0989" w:rsidRDefault="002E0989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Zip top with round hang hole</w:t>
            </w:r>
          </w:p>
        </w:tc>
        <w:tc>
          <w:tcPr>
            <w:tcW w:w="6570" w:type="dxa"/>
          </w:tcPr>
          <w:p w:rsidR="002E0989" w:rsidRPr="002E0989" w:rsidRDefault="002E0989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Front, back; lip is </w:t>
            </w:r>
            <w:r w:rsidR="001C613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present/</w:t>
            </w: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printable</w:t>
            </w:r>
            <w:r w:rsidR="008A6530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 on both sides</w:t>
            </w:r>
            <w:r w:rsidR="00544513" w:rsidRPr="00544513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; round hang hole centered on lip</w:t>
            </w:r>
          </w:p>
        </w:tc>
        <w:tc>
          <w:tcPr>
            <w:tcW w:w="3002" w:type="dxa"/>
          </w:tcPr>
          <w:p w:rsidR="002E0989" w:rsidRDefault="00780B3F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SW – 1 plate</w:t>
            </w:r>
          </w:p>
        </w:tc>
      </w:tr>
      <w:tr w:rsidR="002E0989" w:rsidRPr="002E0989" w:rsidTr="00E677C1">
        <w:tc>
          <w:tcPr>
            <w:tcW w:w="4518" w:type="dxa"/>
          </w:tcPr>
          <w:p w:rsidR="002E0989" w:rsidRPr="002E0989" w:rsidRDefault="002E0989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Zip top with sombrero hang hole</w:t>
            </w:r>
          </w:p>
        </w:tc>
        <w:tc>
          <w:tcPr>
            <w:tcW w:w="6570" w:type="dxa"/>
          </w:tcPr>
          <w:p w:rsidR="002E0989" w:rsidRPr="002E0989" w:rsidRDefault="002E0989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Front, back; lip is </w:t>
            </w:r>
            <w:r w:rsidR="001C613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present/</w:t>
            </w: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printable</w:t>
            </w:r>
            <w:r w:rsidR="008A6530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 on both sides</w:t>
            </w:r>
            <w:r w:rsidR="001C613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; som</w:t>
            </w:r>
            <w:r w:rsidR="00544513" w:rsidRPr="00544513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brero hang hole centered on lip</w:t>
            </w:r>
          </w:p>
        </w:tc>
        <w:tc>
          <w:tcPr>
            <w:tcW w:w="3002" w:type="dxa"/>
          </w:tcPr>
          <w:p w:rsidR="002E0989" w:rsidRDefault="00780B3F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SW – 1 plate</w:t>
            </w:r>
          </w:p>
        </w:tc>
      </w:tr>
      <w:tr w:rsidR="002E0989" w:rsidRPr="002E0989" w:rsidTr="00E677C1">
        <w:tc>
          <w:tcPr>
            <w:tcW w:w="4518" w:type="dxa"/>
          </w:tcPr>
          <w:p w:rsidR="002E0989" w:rsidRPr="002E0989" w:rsidRDefault="002E0989" w:rsidP="002E0989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2E0989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Slider top </w:t>
            </w:r>
          </w:p>
        </w:tc>
        <w:tc>
          <w:tcPr>
            <w:tcW w:w="6570" w:type="dxa"/>
          </w:tcPr>
          <w:p w:rsidR="002E0989" w:rsidRPr="002E0989" w:rsidRDefault="002E0989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Front, back</w:t>
            </w:r>
            <w:r w:rsidR="001C613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, slider</w:t>
            </w:r>
          </w:p>
        </w:tc>
        <w:tc>
          <w:tcPr>
            <w:tcW w:w="3002" w:type="dxa"/>
          </w:tcPr>
          <w:p w:rsidR="002E0989" w:rsidRPr="00780B3F" w:rsidRDefault="00A65174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0000FF"/>
                <w:sz w:val="21"/>
                <w:szCs w:val="21"/>
              </w:rPr>
            </w:pPr>
            <w:r w:rsidRPr="00A65174">
              <w:rPr>
                <w:rFonts w:ascii="Segoe UI" w:eastAsia="Times New Roman" w:hAnsi="Segoe UI" w:cs="Segoe UI"/>
                <w:sz w:val="21"/>
                <w:szCs w:val="21"/>
              </w:rPr>
              <w:t>SW – 1 plate</w:t>
            </w:r>
          </w:p>
        </w:tc>
      </w:tr>
      <w:tr w:rsidR="002E0989" w:rsidRPr="002E0989" w:rsidTr="00E677C1">
        <w:tc>
          <w:tcPr>
            <w:tcW w:w="4518" w:type="dxa"/>
          </w:tcPr>
          <w:p w:rsidR="002E0989" w:rsidRPr="002E0989" w:rsidRDefault="002E0989" w:rsidP="00780B3F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2E0989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Layflat </w:t>
            </w:r>
          </w:p>
        </w:tc>
        <w:tc>
          <w:tcPr>
            <w:tcW w:w="6570" w:type="dxa"/>
          </w:tcPr>
          <w:p w:rsidR="002E0989" w:rsidRPr="002E0989" w:rsidRDefault="002E0989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Front, back</w:t>
            </w:r>
          </w:p>
        </w:tc>
        <w:tc>
          <w:tcPr>
            <w:tcW w:w="3002" w:type="dxa"/>
          </w:tcPr>
          <w:p w:rsidR="002E0989" w:rsidRPr="002E0989" w:rsidRDefault="00A65174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A65174">
              <w:rPr>
                <w:rFonts w:ascii="Segoe UI" w:eastAsia="Times New Roman" w:hAnsi="Segoe UI" w:cs="Segoe UI"/>
                <w:sz w:val="21"/>
                <w:szCs w:val="21"/>
              </w:rPr>
              <w:t>SW – 1 plate</w:t>
            </w:r>
          </w:p>
        </w:tc>
      </w:tr>
      <w:tr w:rsidR="002E0989" w:rsidRPr="002E0989" w:rsidTr="00E677C1">
        <w:tc>
          <w:tcPr>
            <w:tcW w:w="4518" w:type="dxa"/>
          </w:tcPr>
          <w:p w:rsidR="002E0989" w:rsidRPr="002E0989" w:rsidRDefault="002E0989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A65174">
              <w:rPr>
                <w:rFonts w:ascii="Segoe UI" w:eastAsia="Times New Roman" w:hAnsi="Segoe UI" w:cs="Segoe UI"/>
                <w:strike/>
                <w:color w:val="333333"/>
                <w:sz w:val="21"/>
                <w:szCs w:val="21"/>
              </w:rPr>
              <w:t>Side gusset</w:t>
            </w:r>
            <w:r w:rsidR="00A65174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 - </w:t>
            </w:r>
            <w:r w:rsidR="00A65174" w:rsidRPr="00A65174">
              <w:rPr>
                <w:rFonts w:ascii="Segoe UI" w:eastAsia="Times New Roman" w:hAnsi="Segoe UI" w:cs="Segoe UI"/>
                <w:color w:val="0000FF"/>
                <w:sz w:val="21"/>
                <w:szCs w:val="21"/>
              </w:rPr>
              <w:t>PHASE 2</w:t>
            </w:r>
          </w:p>
        </w:tc>
        <w:tc>
          <w:tcPr>
            <w:tcW w:w="6570" w:type="dxa"/>
          </w:tcPr>
          <w:p w:rsidR="002E0989" w:rsidRPr="00A65174" w:rsidRDefault="002E0989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strike/>
                <w:color w:val="333333"/>
                <w:sz w:val="21"/>
                <w:szCs w:val="21"/>
              </w:rPr>
            </w:pPr>
            <w:r w:rsidRPr="00A65174">
              <w:rPr>
                <w:rFonts w:ascii="Segoe UI" w:eastAsia="Times New Roman" w:hAnsi="Segoe UI" w:cs="Segoe UI"/>
                <w:strike/>
                <w:color w:val="333333"/>
                <w:sz w:val="21"/>
                <w:szCs w:val="21"/>
              </w:rPr>
              <w:t>Front, back</w:t>
            </w:r>
            <w:r w:rsidR="001C613C" w:rsidRPr="00A65174">
              <w:rPr>
                <w:rFonts w:ascii="Segoe UI" w:eastAsia="Times New Roman" w:hAnsi="Segoe UI" w:cs="Segoe UI"/>
                <w:strike/>
                <w:color w:val="333333"/>
                <w:sz w:val="21"/>
                <w:szCs w:val="21"/>
              </w:rPr>
              <w:t>, gusset lines</w:t>
            </w:r>
          </w:p>
        </w:tc>
        <w:tc>
          <w:tcPr>
            <w:tcW w:w="3002" w:type="dxa"/>
          </w:tcPr>
          <w:p w:rsidR="002E0989" w:rsidRPr="00A65174" w:rsidRDefault="00780B3F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strike/>
                <w:color w:val="333333"/>
                <w:sz w:val="21"/>
                <w:szCs w:val="21"/>
              </w:rPr>
            </w:pPr>
            <w:r w:rsidRPr="00A65174">
              <w:rPr>
                <w:rFonts w:ascii="Segoe UI" w:eastAsia="Times New Roman" w:hAnsi="Segoe UI" w:cs="Segoe UI"/>
                <w:strike/>
                <w:color w:val="333333"/>
                <w:sz w:val="21"/>
                <w:szCs w:val="21"/>
              </w:rPr>
              <w:t>BS – 2 plates</w:t>
            </w:r>
          </w:p>
        </w:tc>
      </w:tr>
      <w:tr w:rsidR="002E0989" w:rsidRPr="002E0989" w:rsidTr="00E677C1">
        <w:tc>
          <w:tcPr>
            <w:tcW w:w="4518" w:type="dxa"/>
          </w:tcPr>
          <w:p w:rsidR="002E0989" w:rsidRPr="002E0989" w:rsidRDefault="002E0989" w:rsidP="00780B3F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A65174">
              <w:rPr>
                <w:rFonts w:ascii="Segoe UI" w:eastAsia="Times New Roman" w:hAnsi="Segoe UI" w:cs="Segoe UI"/>
                <w:strike/>
                <w:color w:val="333333"/>
                <w:sz w:val="21"/>
                <w:szCs w:val="21"/>
              </w:rPr>
              <w:t>Auto bags (aka pre-opened bags on rolls)</w:t>
            </w:r>
            <w:r w:rsidRPr="002E0989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 </w:t>
            </w:r>
            <w:r w:rsidR="00A65174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- </w:t>
            </w:r>
            <w:r w:rsidR="00A65174" w:rsidRPr="00A65174">
              <w:rPr>
                <w:rFonts w:ascii="Segoe UI" w:eastAsia="Times New Roman" w:hAnsi="Segoe UI" w:cs="Segoe UI"/>
                <w:color w:val="0000FF"/>
                <w:sz w:val="21"/>
                <w:szCs w:val="21"/>
              </w:rPr>
              <w:t>PHASE 2</w:t>
            </w:r>
          </w:p>
        </w:tc>
        <w:tc>
          <w:tcPr>
            <w:tcW w:w="6570" w:type="dxa"/>
          </w:tcPr>
          <w:p w:rsidR="002E0989" w:rsidRPr="00A65174" w:rsidRDefault="00780B3F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strike/>
                <w:color w:val="333333"/>
                <w:sz w:val="21"/>
                <w:szCs w:val="21"/>
              </w:rPr>
            </w:pPr>
            <w:r w:rsidRPr="00A65174">
              <w:rPr>
                <w:rFonts w:ascii="Segoe UI" w:eastAsia="Times New Roman" w:hAnsi="Segoe UI" w:cs="Segoe UI"/>
                <w:strike/>
                <w:color w:val="333333"/>
                <w:sz w:val="21"/>
                <w:szCs w:val="21"/>
              </w:rPr>
              <w:t>Front, back</w:t>
            </w:r>
          </w:p>
        </w:tc>
        <w:tc>
          <w:tcPr>
            <w:tcW w:w="3002" w:type="dxa"/>
          </w:tcPr>
          <w:p w:rsidR="002E0989" w:rsidRPr="00A65174" w:rsidRDefault="00780B3F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strike/>
                <w:color w:val="333333"/>
                <w:sz w:val="21"/>
                <w:szCs w:val="21"/>
              </w:rPr>
            </w:pPr>
            <w:r w:rsidRPr="00A65174">
              <w:rPr>
                <w:rFonts w:ascii="Segoe UI" w:eastAsia="Times New Roman" w:hAnsi="Segoe UI" w:cs="Segoe UI"/>
                <w:strike/>
                <w:color w:val="333333"/>
                <w:sz w:val="21"/>
                <w:szCs w:val="21"/>
              </w:rPr>
              <w:t>BS – 2 plates</w:t>
            </w:r>
          </w:p>
        </w:tc>
      </w:tr>
      <w:tr w:rsidR="002E0989" w:rsidRPr="002E0989" w:rsidTr="00E677C1">
        <w:tc>
          <w:tcPr>
            <w:tcW w:w="4518" w:type="dxa"/>
          </w:tcPr>
          <w:p w:rsidR="002E0989" w:rsidRPr="002E0989" w:rsidRDefault="002E0989" w:rsidP="00780B3F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2E0989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Wicketed </w:t>
            </w:r>
            <w:r w:rsidR="00780B3F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layflat </w:t>
            </w:r>
          </w:p>
        </w:tc>
        <w:tc>
          <w:tcPr>
            <w:tcW w:w="6570" w:type="dxa"/>
          </w:tcPr>
          <w:p w:rsidR="008B3CED" w:rsidRDefault="008B3CED" w:rsidP="00780B3F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Front.</w:t>
            </w:r>
          </w:p>
          <w:p w:rsidR="002E0989" w:rsidRDefault="008B3CED" w:rsidP="00780B3F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Back, </w:t>
            </w:r>
            <w:r w:rsidR="00780B3F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including lip - show 2 wicket holes (distance </w:t>
            </w:r>
            <w:r w:rsidR="008A6530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between holes </w:t>
            </w:r>
            <w:r w:rsidR="00780B3F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= wicket width</w:t>
            </w: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). </w:t>
            </w:r>
            <w:bookmarkStart w:id="0" w:name="_GoBack"/>
            <w:bookmarkEnd w:id="0"/>
            <w:r w:rsidR="00876F51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Note: no printing on lip of wicketed bags.</w:t>
            </w:r>
          </w:p>
          <w:p w:rsidR="00E677C1" w:rsidRDefault="00E677C1" w:rsidP="00780B3F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We also need to illustrate chosen bag release option (tear start or perforated lip) in designer and preview (as we do now in tech drawings).</w:t>
            </w:r>
          </w:p>
          <w:p w:rsidR="00E677C1" w:rsidRDefault="00E677C1" w:rsidP="00780B3F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noProof/>
                <w:color w:val="333333"/>
                <w:sz w:val="21"/>
                <w:szCs w:val="21"/>
              </w:rPr>
              <w:drawing>
                <wp:inline distT="0" distB="0" distL="0" distR="0" wp14:anchorId="2062926D" wp14:editId="00982CB4">
                  <wp:extent cx="3552381" cy="10000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ar start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2381" cy="10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77C1" w:rsidRDefault="00E677C1" w:rsidP="00780B3F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noProof/>
                <w:color w:val="333333"/>
                <w:sz w:val="21"/>
                <w:szCs w:val="21"/>
              </w:rPr>
              <w:drawing>
                <wp:inline distT="0" distB="0" distL="0" distR="0" wp14:anchorId="68F7A558" wp14:editId="7F8F0465">
                  <wp:extent cx="3571429" cy="1009524"/>
                  <wp:effectExtent l="0" t="0" r="0" b="63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f lip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1429" cy="1009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77C1" w:rsidRPr="002E0989" w:rsidRDefault="00E677C1" w:rsidP="00780B3F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</w:p>
        </w:tc>
        <w:tc>
          <w:tcPr>
            <w:tcW w:w="3002" w:type="dxa"/>
          </w:tcPr>
          <w:p w:rsidR="002E0989" w:rsidRPr="002E0989" w:rsidRDefault="00780B3F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SW – 1 plate</w:t>
            </w:r>
          </w:p>
        </w:tc>
      </w:tr>
      <w:tr w:rsidR="00780B3F" w:rsidRPr="002E0989" w:rsidTr="00E677C1">
        <w:tc>
          <w:tcPr>
            <w:tcW w:w="4518" w:type="dxa"/>
          </w:tcPr>
          <w:p w:rsidR="00780B3F" w:rsidRPr="002E0989" w:rsidRDefault="00780B3F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Wicketed bottom gusset</w:t>
            </w:r>
          </w:p>
        </w:tc>
        <w:tc>
          <w:tcPr>
            <w:tcW w:w="6570" w:type="dxa"/>
          </w:tcPr>
          <w:p w:rsidR="008B3CED" w:rsidRDefault="008B3CED" w:rsidP="008B3CED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Front.</w:t>
            </w:r>
          </w:p>
          <w:p w:rsidR="008B3CED" w:rsidRDefault="008B3CED" w:rsidP="008B3CED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Back, including lip - show 2 wicket holes (distance between holes = wicket width). Note: no printing on lip of wicketed bags.</w:t>
            </w:r>
          </w:p>
          <w:p w:rsidR="008B3CED" w:rsidRDefault="008B3CED" w:rsidP="00E677C1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Bottom gusset</w:t>
            </w:r>
          </w:p>
          <w:p w:rsidR="00E677C1" w:rsidRPr="002E0989" w:rsidRDefault="00E677C1" w:rsidP="00E677C1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As stated above, we also need to illustrate chosen bag release option.</w:t>
            </w:r>
          </w:p>
        </w:tc>
        <w:tc>
          <w:tcPr>
            <w:tcW w:w="3002" w:type="dxa"/>
          </w:tcPr>
          <w:p w:rsidR="00780B3F" w:rsidRPr="002E0989" w:rsidRDefault="00780B3F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SW – 1 plate</w:t>
            </w:r>
          </w:p>
        </w:tc>
      </w:tr>
      <w:tr w:rsidR="002E0989" w:rsidRPr="002E0989" w:rsidTr="00E677C1">
        <w:tc>
          <w:tcPr>
            <w:tcW w:w="4518" w:type="dxa"/>
          </w:tcPr>
          <w:p w:rsidR="002E0989" w:rsidRPr="002E0989" w:rsidRDefault="008A6530" w:rsidP="008A6530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Lip &amp; tape, permanent</w:t>
            </w:r>
            <w:r w:rsidR="00E677C1" w:rsidRPr="008A6530">
              <w:rPr>
                <w:rFonts w:ascii="Segoe UI" w:eastAsia="Times New Roman" w:hAnsi="Segoe UI" w:cs="Segoe UI"/>
                <w:color w:val="0000FF"/>
                <w:sz w:val="21"/>
                <w:szCs w:val="21"/>
              </w:rPr>
              <w:t xml:space="preserve"> Any visual difference between permanent and resealable </w:t>
            </w:r>
            <w:r w:rsidR="00E677C1">
              <w:rPr>
                <w:rFonts w:ascii="Segoe UI" w:eastAsia="Times New Roman" w:hAnsi="Segoe UI" w:cs="Segoe UI"/>
                <w:color w:val="0000FF"/>
                <w:sz w:val="21"/>
                <w:szCs w:val="21"/>
              </w:rPr>
              <w:t>(below) other than one’s tape is clear and other is white</w:t>
            </w:r>
            <w:r w:rsidR="00E677C1" w:rsidRPr="008A6530">
              <w:rPr>
                <w:rFonts w:ascii="Segoe UI" w:eastAsia="Times New Roman" w:hAnsi="Segoe UI" w:cs="Segoe UI"/>
                <w:color w:val="0000FF"/>
                <w:sz w:val="21"/>
                <w:szCs w:val="21"/>
              </w:rPr>
              <w:t>?</w:t>
            </w:r>
            <w:r w:rsidR="00E677C1">
              <w:rPr>
                <w:rFonts w:ascii="Segoe UI" w:eastAsia="Times New Roman" w:hAnsi="Segoe UI" w:cs="Segoe UI"/>
                <w:color w:val="0000FF"/>
                <w:sz w:val="21"/>
                <w:szCs w:val="21"/>
              </w:rPr>
              <w:t xml:space="preserve"> If not, canvases for permanent and resealable can be the same, but preview/tech drawings should show diff.</w:t>
            </w:r>
          </w:p>
        </w:tc>
        <w:tc>
          <w:tcPr>
            <w:tcW w:w="6570" w:type="dxa"/>
          </w:tcPr>
          <w:p w:rsidR="002E0989" w:rsidRPr="002E0989" w:rsidRDefault="008B3CED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Long side</w:t>
            </w:r>
            <w:r w:rsidR="008A6530" w:rsidRPr="002E0989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 (including lip) and back; we will also depict the non-printable area (area from the back opening down, that the lip folds over onto). Also: show tape in preview &amp; tech drawings</w:t>
            </w:r>
            <w:r w:rsidR="004E4513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 for back side.</w:t>
            </w:r>
          </w:p>
        </w:tc>
        <w:tc>
          <w:tcPr>
            <w:tcW w:w="3002" w:type="dxa"/>
          </w:tcPr>
          <w:p w:rsidR="002E0989" w:rsidRPr="002E0989" w:rsidRDefault="008A6530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SW – 1 plate</w:t>
            </w:r>
          </w:p>
        </w:tc>
      </w:tr>
      <w:tr w:rsidR="008A6530" w:rsidRPr="002E0989" w:rsidTr="00E677C1">
        <w:tc>
          <w:tcPr>
            <w:tcW w:w="4518" w:type="dxa"/>
          </w:tcPr>
          <w:p w:rsidR="008A6530" w:rsidRPr="002E0989" w:rsidRDefault="008A6530" w:rsidP="00E677C1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Lip &amp; tape, resealable</w:t>
            </w:r>
            <w:r w:rsidR="00E7305D" w:rsidRPr="008A6530">
              <w:rPr>
                <w:rFonts w:ascii="Segoe UI" w:eastAsia="Times New Roman" w:hAnsi="Segoe UI" w:cs="Segoe UI"/>
                <w:color w:val="0000FF"/>
                <w:sz w:val="21"/>
                <w:szCs w:val="21"/>
              </w:rPr>
              <w:t xml:space="preserve"> </w:t>
            </w:r>
          </w:p>
        </w:tc>
        <w:tc>
          <w:tcPr>
            <w:tcW w:w="6570" w:type="dxa"/>
          </w:tcPr>
          <w:p w:rsidR="008A6530" w:rsidRPr="002E0989" w:rsidRDefault="008A6530" w:rsidP="00E7305D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F</w:t>
            </w:r>
            <w:r w:rsidRPr="002E0989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ront (including lip) and back; we will also depict the non-printable area (area from the back opening down, that the lip folds over onto). Also: show tape in preview &amp; tech drawings</w:t>
            </w:r>
            <w:r w:rsidR="004E4513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 for back side.</w:t>
            </w: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3002" w:type="dxa"/>
          </w:tcPr>
          <w:p w:rsidR="008A6530" w:rsidRPr="002E0989" w:rsidRDefault="008A6530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SW – 1 plate</w:t>
            </w:r>
          </w:p>
        </w:tc>
      </w:tr>
      <w:tr w:rsidR="002E0989" w:rsidRPr="002E0989" w:rsidTr="00E677C1">
        <w:tc>
          <w:tcPr>
            <w:tcW w:w="4518" w:type="dxa"/>
          </w:tcPr>
          <w:p w:rsidR="002E0989" w:rsidRPr="002E0989" w:rsidRDefault="002E0989" w:rsidP="008A6530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2E0989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Poly mailers (aka co-extruded</w:t>
            </w:r>
            <w:r w:rsidR="008A6530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)</w:t>
            </w:r>
            <w:r w:rsidR="00E7305D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 – non-perforated</w:t>
            </w:r>
          </w:p>
        </w:tc>
        <w:tc>
          <w:tcPr>
            <w:tcW w:w="6570" w:type="dxa"/>
          </w:tcPr>
          <w:p w:rsidR="002E0989" w:rsidRDefault="008A6530" w:rsidP="00E7305D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Front</w:t>
            </w:r>
            <w:r w:rsidRPr="002E0989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 (including lip) and back; always full bleed, so no "safe-line." Also: show tape in preview &amp; tech drawings</w:t>
            </w:r>
            <w:r w:rsidR="004E4513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 for back side</w:t>
            </w:r>
            <w:r w:rsidR="00E7305D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. </w:t>
            </w:r>
          </w:p>
          <w:p w:rsidR="00E677C1" w:rsidRPr="002E0989" w:rsidRDefault="00E677C1" w:rsidP="00E7305D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2CA8A3C8" wp14:editId="5CA00AB1">
                  <wp:extent cx="2438095" cy="1657143"/>
                  <wp:effectExtent l="0" t="0" r="635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095" cy="1657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2" w:type="dxa"/>
          </w:tcPr>
          <w:p w:rsidR="002E0989" w:rsidRDefault="004E4513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SW – 1 plate</w:t>
            </w:r>
          </w:p>
          <w:p w:rsidR="001C613C" w:rsidRPr="002E0989" w:rsidRDefault="001C613C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</w:p>
        </w:tc>
      </w:tr>
      <w:tr w:rsidR="008A6530" w:rsidRPr="002E0989" w:rsidTr="00E677C1">
        <w:tc>
          <w:tcPr>
            <w:tcW w:w="4518" w:type="dxa"/>
          </w:tcPr>
          <w:p w:rsidR="008A6530" w:rsidRPr="002E0989" w:rsidRDefault="00E7305D" w:rsidP="00E7305D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2E0989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Poly mailers (aka co-extruded</w:t>
            </w: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) – perforated</w:t>
            </w:r>
          </w:p>
        </w:tc>
        <w:tc>
          <w:tcPr>
            <w:tcW w:w="6570" w:type="dxa"/>
          </w:tcPr>
          <w:p w:rsidR="008A6530" w:rsidRDefault="00E7305D" w:rsidP="00E7305D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Front</w:t>
            </w:r>
            <w:r w:rsidRPr="002E0989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 (including lip</w:t>
            </w: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, show perforation</w:t>
            </w:r>
            <w:r w:rsidR="004E4513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 line</w:t>
            </w:r>
            <w:r w:rsidRPr="002E0989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) and back; always full bleed, so no "safe-line." Also: show tape in preview &amp; tech drawings</w:t>
            </w:r>
            <w:r w:rsidR="004E4513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 for back side. </w:t>
            </w:r>
          </w:p>
          <w:p w:rsidR="00E677C1" w:rsidRDefault="00E677C1" w:rsidP="00E7305D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02C71CBE" wp14:editId="2BA662D7">
                  <wp:extent cx="2476191" cy="1628572"/>
                  <wp:effectExtent l="0" t="0" r="63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191" cy="1628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2" w:type="dxa"/>
          </w:tcPr>
          <w:p w:rsidR="008A6530" w:rsidRDefault="004E4513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SW – 1 plate</w:t>
            </w:r>
          </w:p>
          <w:p w:rsidR="001C613C" w:rsidRPr="002E0989" w:rsidRDefault="001C613C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</w:p>
        </w:tc>
      </w:tr>
      <w:tr w:rsidR="008A6530" w:rsidRPr="002E0989" w:rsidTr="00E677C1">
        <w:tc>
          <w:tcPr>
            <w:tcW w:w="4518" w:type="dxa"/>
          </w:tcPr>
          <w:p w:rsidR="008A6530" w:rsidRPr="002E0989" w:rsidRDefault="00E7305D" w:rsidP="008A6530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Poly mailers </w:t>
            </w:r>
            <w:r w:rsidR="004E4513" w:rsidRPr="002E0989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(aka co-extruded</w:t>
            </w:r>
            <w:r w:rsidR="004E4513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) </w:t>
            </w: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- returnable</w:t>
            </w:r>
          </w:p>
        </w:tc>
        <w:tc>
          <w:tcPr>
            <w:tcW w:w="6570" w:type="dxa"/>
          </w:tcPr>
          <w:p w:rsidR="008A6530" w:rsidRDefault="00E7305D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Front</w:t>
            </w:r>
            <w:r w:rsidRPr="002E0989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 (including lip</w:t>
            </w: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, show </w:t>
            </w:r>
            <w:r w:rsidR="004E4513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two </w:t>
            </w: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perforation</w:t>
            </w:r>
            <w:r w:rsidR="004E4513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 lines</w:t>
            </w:r>
            <w:r w:rsidRPr="002E0989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) and back; always full bleed, so no "safe-line." Also: show </w:t>
            </w:r>
            <w:r w:rsidR="004E4513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both </w:t>
            </w:r>
            <w:r w:rsidRPr="002E0989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tape </w:t>
            </w:r>
            <w:r w:rsidR="004E4513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strips </w:t>
            </w:r>
            <w:r w:rsidRPr="002E0989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in preview &amp; tech drawings</w:t>
            </w:r>
            <w:r w:rsidR="004E4513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 for back side. </w:t>
            </w:r>
          </w:p>
          <w:p w:rsidR="00E677C1" w:rsidRDefault="00E677C1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292AA654" wp14:editId="643BB549">
                  <wp:extent cx="2729373" cy="180022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9032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2" w:type="dxa"/>
          </w:tcPr>
          <w:p w:rsidR="008A6530" w:rsidRDefault="004E4513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SW – 1 plate</w:t>
            </w:r>
          </w:p>
          <w:p w:rsidR="001C613C" w:rsidRPr="002E0989" w:rsidRDefault="001C613C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</w:p>
        </w:tc>
      </w:tr>
    </w:tbl>
    <w:p w:rsidR="00DF5C66" w:rsidRDefault="007A1ACD" w:rsidP="002E0989"/>
    <w:sectPr w:rsidR="00DF5C66" w:rsidSect="0055159F">
      <w:pgSz w:w="15840" w:h="3168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D4511"/>
    <w:multiLevelType w:val="hybridMultilevel"/>
    <w:tmpl w:val="BC06E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2C7576"/>
    <w:multiLevelType w:val="multilevel"/>
    <w:tmpl w:val="02748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8362EC3"/>
    <w:multiLevelType w:val="multilevel"/>
    <w:tmpl w:val="417CA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989"/>
    <w:rsid w:val="001C613C"/>
    <w:rsid w:val="002E0989"/>
    <w:rsid w:val="002F2579"/>
    <w:rsid w:val="00471862"/>
    <w:rsid w:val="004E4513"/>
    <w:rsid w:val="00544513"/>
    <w:rsid w:val="00544732"/>
    <w:rsid w:val="0055159F"/>
    <w:rsid w:val="006200BB"/>
    <w:rsid w:val="00780B3F"/>
    <w:rsid w:val="007A1ACD"/>
    <w:rsid w:val="00876F51"/>
    <w:rsid w:val="008A6530"/>
    <w:rsid w:val="008B3CED"/>
    <w:rsid w:val="00A65174"/>
    <w:rsid w:val="00C27607"/>
    <w:rsid w:val="00C8721A"/>
    <w:rsid w:val="00E40218"/>
    <w:rsid w:val="00E677C1"/>
    <w:rsid w:val="00E7305D"/>
    <w:rsid w:val="00F9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862"/>
    <w:pPr>
      <w:spacing w:after="0"/>
    </w:pPr>
    <w:rPr>
      <w:rFonts w:cs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1862"/>
    <w:pPr>
      <w:keepNext/>
      <w:keepLines/>
      <w:spacing w:before="240" w:after="240"/>
      <w:outlineLvl w:val="0"/>
    </w:pPr>
    <w:rPr>
      <w:rFonts w:eastAsia="Times New Roman"/>
      <w:b/>
      <w:bCs/>
      <w:color w:val="595959" w:themeColor="text1" w:themeTint="A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1862"/>
    <w:pPr>
      <w:spacing w:before="120" w:after="240"/>
      <w:outlineLvl w:val="1"/>
    </w:pPr>
    <w:rPr>
      <w:rFonts w:eastAsiaTheme="majorEastAsia"/>
      <w:b/>
      <w:bCs/>
      <w:color w:val="595959" w:themeColor="text1" w:themeTint="A6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1862"/>
    <w:pPr>
      <w:keepNext/>
      <w:keepLines/>
      <w:spacing w:before="200"/>
      <w:outlineLvl w:val="2"/>
    </w:pPr>
    <w:rPr>
      <w:rFonts w:eastAsiaTheme="majorEastAsia" w:cstheme="majorBidi"/>
      <w:b/>
      <w:bCs/>
      <w:color w:val="595959" w:themeColor="text1" w:themeTint="A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1862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595959" w:themeColor="text1" w:themeTint="A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71862"/>
    <w:pPr>
      <w:keepNext/>
      <w:keepLines/>
      <w:spacing w:before="200"/>
      <w:outlineLvl w:val="4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1862"/>
    <w:rPr>
      <w:rFonts w:eastAsia="Times New Roman" w:cstheme="minorHAnsi"/>
      <w:b/>
      <w:bCs/>
      <w:color w:val="595959" w:themeColor="text1" w:themeTint="A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71862"/>
    <w:rPr>
      <w:rFonts w:eastAsiaTheme="majorEastAsia" w:cstheme="minorHAnsi"/>
      <w:b/>
      <w:bCs/>
      <w:color w:val="595959" w:themeColor="text1" w:themeTint="A6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71862"/>
    <w:pPr>
      <w:spacing w:after="300" w:line="240" w:lineRule="auto"/>
      <w:contextualSpacing/>
      <w:jc w:val="center"/>
    </w:pPr>
    <w:rPr>
      <w:rFonts w:eastAsiaTheme="majorEastAsia"/>
      <w:b/>
      <w:color w:val="595959" w:themeColor="text1" w:themeTint="A6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71862"/>
    <w:rPr>
      <w:rFonts w:eastAsiaTheme="majorEastAsia" w:cstheme="minorHAnsi"/>
      <w:b/>
      <w:color w:val="595959" w:themeColor="text1" w:themeTint="A6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47186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71862"/>
    <w:rPr>
      <w:rFonts w:eastAsiaTheme="majorEastAsia" w:cstheme="majorBidi"/>
      <w:b/>
      <w:bCs/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rsid w:val="00471862"/>
    <w:rPr>
      <w:rFonts w:eastAsiaTheme="majorEastAsia" w:cstheme="majorBidi"/>
      <w:b/>
      <w:bCs/>
      <w:i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rsid w:val="00471862"/>
    <w:rPr>
      <w:rFonts w:eastAsiaTheme="majorEastAsia" w:cstheme="majorBidi"/>
      <w:color w:val="595959" w:themeColor="text1" w:themeTint="A6"/>
    </w:rPr>
  </w:style>
  <w:style w:type="paragraph" w:styleId="NormalWeb">
    <w:name w:val="Normal (Web)"/>
    <w:basedOn w:val="Normal"/>
    <w:uiPriority w:val="99"/>
    <w:semiHidden/>
    <w:unhideWhenUsed/>
    <w:rsid w:val="002E0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E0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61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1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862"/>
    <w:pPr>
      <w:spacing w:after="0"/>
    </w:pPr>
    <w:rPr>
      <w:rFonts w:cs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1862"/>
    <w:pPr>
      <w:keepNext/>
      <w:keepLines/>
      <w:spacing w:before="240" w:after="240"/>
      <w:outlineLvl w:val="0"/>
    </w:pPr>
    <w:rPr>
      <w:rFonts w:eastAsia="Times New Roman"/>
      <w:b/>
      <w:bCs/>
      <w:color w:val="595959" w:themeColor="text1" w:themeTint="A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1862"/>
    <w:pPr>
      <w:spacing w:before="120" w:after="240"/>
      <w:outlineLvl w:val="1"/>
    </w:pPr>
    <w:rPr>
      <w:rFonts w:eastAsiaTheme="majorEastAsia"/>
      <w:b/>
      <w:bCs/>
      <w:color w:val="595959" w:themeColor="text1" w:themeTint="A6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1862"/>
    <w:pPr>
      <w:keepNext/>
      <w:keepLines/>
      <w:spacing w:before="200"/>
      <w:outlineLvl w:val="2"/>
    </w:pPr>
    <w:rPr>
      <w:rFonts w:eastAsiaTheme="majorEastAsia" w:cstheme="majorBidi"/>
      <w:b/>
      <w:bCs/>
      <w:color w:val="595959" w:themeColor="text1" w:themeTint="A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1862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595959" w:themeColor="text1" w:themeTint="A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71862"/>
    <w:pPr>
      <w:keepNext/>
      <w:keepLines/>
      <w:spacing w:before="200"/>
      <w:outlineLvl w:val="4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1862"/>
    <w:rPr>
      <w:rFonts w:eastAsia="Times New Roman" w:cstheme="minorHAnsi"/>
      <w:b/>
      <w:bCs/>
      <w:color w:val="595959" w:themeColor="text1" w:themeTint="A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71862"/>
    <w:rPr>
      <w:rFonts w:eastAsiaTheme="majorEastAsia" w:cstheme="minorHAnsi"/>
      <w:b/>
      <w:bCs/>
      <w:color w:val="595959" w:themeColor="text1" w:themeTint="A6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71862"/>
    <w:pPr>
      <w:spacing w:after="300" w:line="240" w:lineRule="auto"/>
      <w:contextualSpacing/>
      <w:jc w:val="center"/>
    </w:pPr>
    <w:rPr>
      <w:rFonts w:eastAsiaTheme="majorEastAsia"/>
      <w:b/>
      <w:color w:val="595959" w:themeColor="text1" w:themeTint="A6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71862"/>
    <w:rPr>
      <w:rFonts w:eastAsiaTheme="majorEastAsia" w:cstheme="minorHAnsi"/>
      <w:b/>
      <w:color w:val="595959" w:themeColor="text1" w:themeTint="A6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47186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71862"/>
    <w:rPr>
      <w:rFonts w:eastAsiaTheme="majorEastAsia" w:cstheme="majorBidi"/>
      <w:b/>
      <w:bCs/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rsid w:val="00471862"/>
    <w:rPr>
      <w:rFonts w:eastAsiaTheme="majorEastAsia" w:cstheme="majorBidi"/>
      <w:b/>
      <w:bCs/>
      <w:i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rsid w:val="00471862"/>
    <w:rPr>
      <w:rFonts w:eastAsiaTheme="majorEastAsia" w:cstheme="majorBidi"/>
      <w:color w:val="595959" w:themeColor="text1" w:themeTint="A6"/>
    </w:rPr>
  </w:style>
  <w:style w:type="paragraph" w:styleId="NormalWeb">
    <w:name w:val="Normal (Web)"/>
    <w:basedOn w:val="Normal"/>
    <w:uiPriority w:val="99"/>
    <w:semiHidden/>
    <w:unhideWhenUsed/>
    <w:rsid w:val="002E0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E0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61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1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4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Parker</dc:creator>
  <cp:lastModifiedBy>Susan Parker</cp:lastModifiedBy>
  <cp:revision>8</cp:revision>
  <dcterms:created xsi:type="dcterms:W3CDTF">2018-03-20T17:53:00Z</dcterms:created>
  <dcterms:modified xsi:type="dcterms:W3CDTF">2018-04-23T18:51:00Z</dcterms:modified>
</cp:coreProperties>
</file>